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03" w:rsidRDefault="00026D62" w:rsidP="00026D62">
      <w:pPr>
        <w:jc w:val="center"/>
        <w:rPr>
          <w:color w:val="C00000"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19685</wp:posOffset>
            </wp:positionV>
            <wp:extent cx="1165225" cy="1165225"/>
            <wp:effectExtent l="19050" t="19050" r="15875" b="15875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OPT ufficia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652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-537845</wp:posOffset>
            </wp:positionV>
            <wp:extent cx="1609725" cy="1276350"/>
            <wp:effectExtent l="19050" t="19050" r="28575" b="19050"/>
            <wp:wrapThrough wrapText="bothSides">
              <wp:wrapPolygon edited="0">
                <wp:start x="-256" y="-322"/>
                <wp:lineTo x="-256" y="21922"/>
                <wp:lineTo x="21983" y="21922"/>
                <wp:lineTo x="21983" y="-322"/>
                <wp:lineTo x="-256" y="-322"/>
              </wp:wrapPolygon>
            </wp:wrapThrough>
            <wp:docPr id="4" name="Immagine 1" descr="Logo  Lorenzo Mar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 Lorenzo Mar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518" r="-575" b="14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7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B03">
        <w:rPr>
          <w:color w:val="C00000"/>
          <w:sz w:val="40"/>
          <w:szCs w:val="40"/>
        </w:rPr>
        <w:t>Ordine degli Psicologi della Toscana</w:t>
      </w:r>
    </w:p>
    <w:p w:rsidR="00517B03" w:rsidRDefault="00517B03" w:rsidP="00026D62">
      <w:pPr>
        <w:ind w:left="708" w:firstLine="708"/>
        <w:jc w:val="center"/>
        <w:rPr>
          <w:sz w:val="40"/>
          <w:szCs w:val="40"/>
        </w:rPr>
      </w:pPr>
      <w:r>
        <w:rPr>
          <w:sz w:val="40"/>
          <w:szCs w:val="40"/>
        </w:rPr>
        <w:t>Gruppo di Lavoro</w:t>
      </w:r>
    </w:p>
    <w:p w:rsidR="00517B03" w:rsidRDefault="00517B03" w:rsidP="00026D62">
      <w:pPr>
        <w:ind w:left="708" w:firstLine="708"/>
        <w:jc w:val="center"/>
        <w:rPr>
          <w:rFonts w:ascii="MV Boli" w:eastAsiaTheme="minorHAnsi" w:hAnsi="MV Boli" w:cs="MV Boli"/>
          <w:b/>
          <w:color w:val="C00000"/>
          <w:sz w:val="40"/>
          <w:szCs w:val="40"/>
        </w:rPr>
      </w:pPr>
      <w:r>
        <w:rPr>
          <w:sz w:val="40"/>
          <w:szCs w:val="40"/>
        </w:rPr>
        <w:t>Psicologia per la Scuola</w:t>
      </w:r>
    </w:p>
    <w:p w:rsidR="00517B03" w:rsidRPr="007F1302" w:rsidRDefault="00517B03" w:rsidP="00517B03">
      <w:pPr>
        <w:shd w:val="clear" w:color="auto" w:fill="FFFFFF"/>
        <w:jc w:val="center"/>
        <w:rPr>
          <w:rFonts w:eastAsia="Times New Roman" w:cs="Arial"/>
          <w:color w:val="222222"/>
          <w:sz w:val="24"/>
          <w:szCs w:val="24"/>
          <w:lang w:eastAsia="it-IT"/>
        </w:rPr>
      </w:pPr>
      <w:r w:rsidRPr="00517B03">
        <w:rPr>
          <w:rFonts w:eastAsia="Times New Roman" w:cs="Arial"/>
          <w:b/>
          <w:i/>
          <w:noProof/>
          <w:color w:val="222222"/>
          <w:sz w:val="40"/>
          <w:szCs w:val="40"/>
          <w:lang w:eastAsia="it-IT"/>
        </w:rPr>
        <w:t xml:space="preserve"> </w:t>
      </w:r>
    </w:p>
    <w:p w:rsidR="00043E2C" w:rsidRPr="00043E2C" w:rsidRDefault="00026D62" w:rsidP="00026D62">
      <w:pPr>
        <w:shd w:val="clear" w:color="auto" w:fill="FFFFFF"/>
        <w:ind w:left="708"/>
        <w:jc w:val="center"/>
        <w:rPr>
          <w:rFonts w:ascii="MV Boli" w:eastAsia="Times New Roman" w:hAnsi="MV Boli" w:cs="MV Boli"/>
          <w:b/>
          <w:color w:val="C00000"/>
          <w:lang w:eastAsia="it-IT"/>
        </w:rPr>
      </w:pPr>
      <w:r>
        <w:rPr>
          <w:rFonts w:ascii="MV Boli" w:eastAsia="Times New Roman" w:hAnsi="MV Boli" w:cs="MV Boli"/>
          <w:b/>
          <w:color w:val="C00000"/>
          <w:lang w:eastAsia="it-IT"/>
        </w:rPr>
        <w:t>I processi d’apprendimento</w:t>
      </w:r>
      <w:r w:rsidR="00CB7853">
        <w:rPr>
          <w:rFonts w:ascii="MV Boli" w:eastAsia="Times New Roman" w:hAnsi="MV Boli" w:cs="MV Boli"/>
          <w:b/>
          <w:color w:val="C00000"/>
          <w:lang w:eastAsia="it-IT"/>
        </w:rPr>
        <w:t xml:space="preserve"> FASE 2</w:t>
      </w:r>
    </w:p>
    <w:p w:rsidR="00517B03" w:rsidRPr="00043E2C" w:rsidRDefault="00517B03" w:rsidP="00026D62">
      <w:pPr>
        <w:shd w:val="clear" w:color="auto" w:fill="FFFFFF"/>
        <w:ind w:left="708"/>
        <w:jc w:val="center"/>
        <w:rPr>
          <w:rFonts w:ascii="MV Boli" w:eastAsia="Times New Roman" w:hAnsi="MV Boli" w:cs="MV Boli"/>
          <w:b/>
          <w:color w:val="C00000"/>
          <w:lang w:eastAsia="it-IT"/>
        </w:rPr>
      </w:pPr>
      <w:r w:rsidRPr="00043E2C">
        <w:rPr>
          <w:rFonts w:ascii="MV Boli" w:eastAsia="Times New Roman" w:hAnsi="MV Boli" w:cs="MV Boli"/>
          <w:b/>
          <w:color w:val="C00000"/>
          <w:lang w:eastAsia="it-IT"/>
        </w:rPr>
        <w:t xml:space="preserve">Scenari diversi, </w:t>
      </w:r>
      <w:r w:rsidR="00EB54B7">
        <w:rPr>
          <w:rFonts w:ascii="MV Boli" w:eastAsia="Times New Roman" w:hAnsi="MV Boli" w:cs="MV Boli"/>
          <w:b/>
          <w:color w:val="C00000"/>
          <w:lang w:eastAsia="it-IT"/>
        </w:rPr>
        <w:t>criticità</w:t>
      </w:r>
      <w:r w:rsidR="00026D62">
        <w:rPr>
          <w:rFonts w:ascii="MV Boli" w:eastAsia="Times New Roman" w:hAnsi="MV Boli" w:cs="MV Boli"/>
          <w:b/>
          <w:color w:val="C00000"/>
          <w:lang w:eastAsia="it-IT"/>
        </w:rPr>
        <w:t xml:space="preserve"> e strategie a confronto</w:t>
      </w:r>
    </w:p>
    <w:p w:rsidR="00517B03" w:rsidRDefault="00517B03" w:rsidP="00517B03">
      <w:pPr>
        <w:shd w:val="clear" w:color="auto" w:fill="FFFFFF"/>
        <w:ind w:left="708"/>
        <w:jc w:val="both"/>
        <w:rPr>
          <w:rFonts w:eastAsia="Times New Roman" w:cs="Arial"/>
          <w:b/>
          <w:i/>
          <w:color w:val="222222"/>
          <w:sz w:val="24"/>
          <w:szCs w:val="24"/>
          <w:lang w:eastAsia="it-IT"/>
        </w:rPr>
      </w:pPr>
    </w:p>
    <w:p w:rsidR="003112D8" w:rsidRDefault="003112D8" w:rsidP="003112D8">
      <w:pPr>
        <w:autoSpaceDE w:val="0"/>
        <w:autoSpaceDN w:val="0"/>
        <w:adjustRightInd w:val="0"/>
        <w:rPr>
          <w:rFonts w:eastAsiaTheme="minorHAnsi" w:cs="Calibri"/>
          <w:color w:val="404040"/>
          <w:sz w:val="19"/>
          <w:szCs w:val="19"/>
        </w:rPr>
      </w:pPr>
      <w:r>
        <w:rPr>
          <w:rFonts w:eastAsiaTheme="minorHAnsi" w:cs="Calibri"/>
          <w:color w:val="404040"/>
          <w:sz w:val="19"/>
          <w:szCs w:val="19"/>
        </w:rPr>
        <w:tab/>
      </w:r>
      <w:r>
        <w:rPr>
          <w:rFonts w:eastAsiaTheme="minorHAnsi" w:cs="Calibri"/>
          <w:color w:val="404040"/>
          <w:sz w:val="19"/>
          <w:szCs w:val="19"/>
        </w:rPr>
        <w:tab/>
      </w:r>
      <w:r>
        <w:rPr>
          <w:rFonts w:eastAsiaTheme="minorHAnsi" w:cs="Calibri"/>
          <w:color w:val="404040"/>
          <w:sz w:val="19"/>
          <w:szCs w:val="19"/>
        </w:rPr>
        <w:tab/>
      </w:r>
      <w:r>
        <w:rPr>
          <w:rFonts w:eastAsiaTheme="minorHAnsi" w:cs="Calibri"/>
          <w:color w:val="404040"/>
          <w:sz w:val="19"/>
          <w:szCs w:val="19"/>
        </w:rPr>
        <w:tab/>
      </w:r>
      <w:r>
        <w:rPr>
          <w:rFonts w:eastAsiaTheme="minorHAnsi" w:cs="Calibri"/>
          <w:color w:val="404040"/>
          <w:sz w:val="19"/>
          <w:szCs w:val="19"/>
        </w:rPr>
        <w:tab/>
      </w:r>
      <w:r>
        <w:rPr>
          <w:rFonts w:eastAsiaTheme="minorHAnsi" w:cs="Calibri"/>
          <w:color w:val="404040"/>
          <w:sz w:val="19"/>
          <w:szCs w:val="19"/>
        </w:rPr>
        <w:tab/>
      </w:r>
      <w:r>
        <w:rPr>
          <w:rFonts w:eastAsiaTheme="minorHAnsi" w:cs="Calibri"/>
          <w:color w:val="404040"/>
          <w:sz w:val="19"/>
          <w:szCs w:val="19"/>
        </w:rPr>
        <w:tab/>
        <w:t xml:space="preserve"> </w:t>
      </w:r>
      <w:r>
        <w:rPr>
          <w:rFonts w:eastAsiaTheme="minorHAnsi" w:cs="Calibri"/>
          <w:color w:val="404040"/>
          <w:sz w:val="19"/>
          <w:szCs w:val="19"/>
        </w:rPr>
        <w:t>“Sono vent’anni che insegno Manzoni … eppure ogni anno,</w:t>
      </w:r>
    </w:p>
    <w:p w:rsidR="003112D8" w:rsidRDefault="003112D8" w:rsidP="003112D8">
      <w:pPr>
        <w:autoSpaceDE w:val="0"/>
        <w:autoSpaceDN w:val="0"/>
        <w:adjustRightInd w:val="0"/>
        <w:rPr>
          <w:rFonts w:eastAsiaTheme="minorHAnsi" w:cs="Calibri"/>
          <w:color w:val="404040"/>
          <w:sz w:val="19"/>
          <w:szCs w:val="19"/>
        </w:rPr>
      </w:pPr>
      <w:r>
        <w:rPr>
          <w:rFonts w:eastAsiaTheme="minorHAnsi" w:cs="Calibri"/>
          <w:color w:val="404040"/>
          <w:sz w:val="19"/>
          <w:szCs w:val="19"/>
        </w:rPr>
        <w:tab/>
      </w:r>
      <w:r>
        <w:rPr>
          <w:rFonts w:eastAsiaTheme="minorHAnsi" w:cs="Calibri"/>
          <w:color w:val="404040"/>
          <w:sz w:val="19"/>
          <w:szCs w:val="19"/>
        </w:rPr>
        <w:tab/>
      </w:r>
      <w:r>
        <w:rPr>
          <w:rFonts w:eastAsiaTheme="minorHAnsi" w:cs="Calibri"/>
          <w:color w:val="404040"/>
          <w:sz w:val="19"/>
          <w:szCs w:val="19"/>
        </w:rPr>
        <w:tab/>
        <w:t xml:space="preserve">    </w:t>
      </w:r>
      <w:proofErr w:type="gramStart"/>
      <w:r>
        <w:rPr>
          <w:rFonts w:eastAsiaTheme="minorHAnsi" w:cs="Calibri"/>
          <w:color w:val="404040"/>
          <w:sz w:val="19"/>
          <w:szCs w:val="19"/>
        </w:rPr>
        <w:t>non</w:t>
      </w:r>
      <w:proofErr w:type="gramEnd"/>
      <w:r>
        <w:rPr>
          <w:rFonts w:eastAsiaTheme="minorHAnsi" w:cs="Calibri"/>
          <w:color w:val="404040"/>
          <w:sz w:val="19"/>
          <w:szCs w:val="19"/>
        </w:rPr>
        <w:t xml:space="preserve"> è mai lo stesso Manzoni, ogni classe mi porta a scoprire aspetti nuovi dello stesso autore”.</w:t>
      </w:r>
    </w:p>
    <w:p w:rsidR="003112D8" w:rsidRPr="003112D8" w:rsidRDefault="003112D8" w:rsidP="003112D8">
      <w:pPr>
        <w:autoSpaceDE w:val="0"/>
        <w:autoSpaceDN w:val="0"/>
        <w:adjustRightInd w:val="0"/>
        <w:rPr>
          <w:rFonts w:ascii="Didot-Bold" w:eastAsiaTheme="minorHAnsi" w:hAnsi="Didot-Bold" w:cs="Didot-Bold"/>
          <w:b/>
          <w:bCs/>
          <w:color w:val="C10000"/>
          <w:sz w:val="20"/>
          <w:szCs w:val="20"/>
        </w:rPr>
      </w:pPr>
    </w:p>
    <w:p w:rsidR="003112D8" w:rsidRDefault="003112D8" w:rsidP="003112D8">
      <w:pPr>
        <w:autoSpaceDE w:val="0"/>
        <w:autoSpaceDN w:val="0"/>
        <w:adjustRightInd w:val="0"/>
        <w:rPr>
          <w:rFonts w:ascii="Didot-Bold" w:eastAsiaTheme="minorHAnsi" w:hAnsi="Didot-Bold" w:cs="Didot-Bold"/>
          <w:b/>
          <w:bCs/>
          <w:color w:val="C10000"/>
          <w:sz w:val="20"/>
          <w:szCs w:val="20"/>
        </w:rPr>
      </w:pPr>
    </w:p>
    <w:p w:rsidR="003112D8" w:rsidRDefault="003112D8" w:rsidP="003112D8">
      <w:pPr>
        <w:autoSpaceDE w:val="0"/>
        <w:autoSpaceDN w:val="0"/>
        <w:adjustRightInd w:val="0"/>
        <w:rPr>
          <w:rFonts w:ascii="Didot-Bold" w:eastAsiaTheme="minorHAnsi" w:hAnsi="Didot-Bold" w:cs="Didot-Bold"/>
          <w:b/>
          <w:bCs/>
          <w:color w:val="C10000"/>
          <w:sz w:val="20"/>
          <w:szCs w:val="20"/>
        </w:rPr>
      </w:pPr>
    </w:p>
    <w:p w:rsidR="003112D8" w:rsidRPr="003112D8" w:rsidRDefault="003112D8" w:rsidP="003112D8">
      <w:pPr>
        <w:autoSpaceDE w:val="0"/>
        <w:autoSpaceDN w:val="0"/>
        <w:adjustRightInd w:val="0"/>
        <w:rPr>
          <w:rFonts w:ascii="Didot-Bold" w:eastAsiaTheme="minorHAnsi" w:hAnsi="Didot-Bold" w:cs="Didot-Bold"/>
          <w:b/>
          <w:bCs/>
          <w:color w:val="C10000"/>
          <w:sz w:val="20"/>
          <w:szCs w:val="20"/>
        </w:rPr>
      </w:pPr>
      <w:r w:rsidRPr="003112D8">
        <w:rPr>
          <w:rFonts w:ascii="Didot-Bold" w:eastAsiaTheme="minorHAnsi" w:hAnsi="Didot-Bold" w:cs="Didot-Bold"/>
          <w:b/>
          <w:bCs/>
          <w:color w:val="C10000"/>
          <w:sz w:val="20"/>
          <w:szCs w:val="20"/>
        </w:rPr>
        <w:t>Premessa</w:t>
      </w: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  <w:r w:rsidRPr="003112D8">
        <w:rPr>
          <w:rFonts w:eastAsiaTheme="minorHAnsi" w:cs="Calibri"/>
          <w:color w:val="404040"/>
          <w:sz w:val="20"/>
          <w:szCs w:val="20"/>
        </w:rPr>
        <w:t>I professionisti che lavorano nel campo dell’educazione hanno la chiara consapevolezza di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 </w:t>
      </w:r>
      <w:r w:rsidRPr="003112D8">
        <w:rPr>
          <w:rFonts w:eastAsiaTheme="minorHAnsi" w:cs="Calibri"/>
          <w:color w:val="404040"/>
          <w:sz w:val="20"/>
          <w:szCs w:val="20"/>
        </w:rPr>
        <w:t>intervenire in un ambito complesso, la cui comprensione necessita dell’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articolazione tra varie </w:t>
      </w:r>
      <w:r w:rsidRPr="003112D8">
        <w:rPr>
          <w:rFonts w:eastAsiaTheme="minorHAnsi" w:cs="Calibri"/>
          <w:color w:val="404040"/>
          <w:sz w:val="20"/>
          <w:szCs w:val="20"/>
        </w:rPr>
        <w:t>prospettive teoriche ed esperienziali.</w:t>
      </w: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  <w:r w:rsidRPr="003112D8">
        <w:rPr>
          <w:rFonts w:eastAsiaTheme="minorHAnsi" w:cs="Calibri"/>
          <w:color w:val="404040"/>
          <w:sz w:val="20"/>
          <w:szCs w:val="20"/>
        </w:rPr>
        <w:t>Nelle scuole ogni giorno gli insegnanti assumono su di sé il comp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ito di presentare ai giovani un 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bagaglio di competenze ritenute necessarie per la loro vita futura nella nostra società. </w:t>
      </w: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  <w:r w:rsidRPr="003112D8">
        <w:rPr>
          <w:rFonts w:eastAsiaTheme="minorHAnsi" w:cs="Calibri"/>
          <w:color w:val="404040"/>
          <w:sz w:val="20"/>
          <w:szCs w:val="20"/>
        </w:rPr>
        <w:t xml:space="preserve">Claude </w:t>
      </w:r>
      <w:proofErr w:type="spellStart"/>
      <w:r w:rsidRPr="003112D8">
        <w:rPr>
          <w:rFonts w:eastAsiaTheme="minorHAnsi" w:cs="Calibri"/>
          <w:color w:val="404040"/>
          <w:sz w:val="20"/>
          <w:szCs w:val="20"/>
        </w:rPr>
        <w:t>Lèvi</w:t>
      </w:r>
      <w:proofErr w:type="spellEnd"/>
      <w:r w:rsidRPr="003112D8">
        <w:rPr>
          <w:rFonts w:eastAsiaTheme="minorHAnsi" w:cs="Calibri"/>
          <w:color w:val="404040"/>
          <w:sz w:val="20"/>
          <w:szCs w:val="20"/>
        </w:rPr>
        <w:t xml:space="preserve"> </w:t>
      </w:r>
      <w:proofErr w:type="spellStart"/>
      <w:r w:rsidRPr="003112D8">
        <w:rPr>
          <w:rFonts w:eastAsiaTheme="minorHAnsi" w:cs="Calibri"/>
          <w:color w:val="404040"/>
          <w:sz w:val="20"/>
          <w:szCs w:val="20"/>
        </w:rPr>
        <w:t>Straus</w:t>
      </w:r>
      <w:proofErr w:type="spellEnd"/>
      <w:r w:rsidRPr="003112D8">
        <w:rPr>
          <w:rFonts w:eastAsiaTheme="minorHAnsi" w:cs="Calibri"/>
          <w:color w:val="404040"/>
          <w:sz w:val="20"/>
          <w:szCs w:val="20"/>
        </w:rPr>
        <w:t xml:space="preserve"> definisce l’educazione come un “processo di trasmissione e ricreazione della cultura”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, questo </w:t>
      </w:r>
      <w:r w:rsidRPr="003112D8">
        <w:rPr>
          <w:rFonts w:eastAsiaTheme="minorHAnsi" w:cs="Calibri"/>
          <w:color w:val="404040"/>
          <w:sz w:val="20"/>
          <w:szCs w:val="20"/>
        </w:rPr>
        <w:t>approccio ci aiuta a pensare l’atto educativo come un momento pr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ivilegiato nel passaggio di una </w:t>
      </w:r>
      <w:r w:rsidRPr="003112D8">
        <w:rPr>
          <w:rFonts w:eastAsiaTheme="minorHAnsi" w:cs="Calibri"/>
          <w:color w:val="404040"/>
          <w:sz w:val="20"/>
          <w:szCs w:val="20"/>
        </w:rPr>
        <w:t>eredità intangibile, la cultura, da una generazione all’altra. I</w:t>
      </w:r>
      <w:r w:rsidRPr="003112D8">
        <w:rPr>
          <w:rFonts w:eastAsiaTheme="minorHAnsi" w:cs="Calibri"/>
          <w:color w:val="404040"/>
          <w:sz w:val="20"/>
          <w:szCs w:val="20"/>
        </w:rPr>
        <w:t>n questo atto la cultura si ri</w:t>
      </w:r>
      <w:r w:rsidRPr="003112D8">
        <w:rPr>
          <w:rFonts w:eastAsiaTheme="minorHAnsi" w:cs="Calibri"/>
          <w:color w:val="404040"/>
          <w:sz w:val="20"/>
          <w:szCs w:val="20"/>
        </w:rPr>
        <w:t>c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rea, vale </w:t>
      </w:r>
      <w:r w:rsidRPr="003112D8">
        <w:rPr>
          <w:rFonts w:eastAsiaTheme="minorHAnsi" w:cs="Calibri"/>
          <w:color w:val="404040"/>
          <w:sz w:val="20"/>
          <w:szCs w:val="20"/>
        </w:rPr>
        <w:t>a dire che i contenuti curriculari che di anno in anno vengono ripro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posti assumono diverse vesti in 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funzione della classe dove viene svolta la lezione, dell’insegnante 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che presiede la cattedra, della </w:t>
      </w:r>
      <w:r w:rsidRPr="003112D8">
        <w:rPr>
          <w:rFonts w:eastAsiaTheme="minorHAnsi" w:cs="Calibri"/>
          <w:color w:val="404040"/>
          <w:sz w:val="20"/>
          <w:szCs w:val="20"/>
        </w:rPr>
        <w:t>scuola dove questo incontro educativo ha luogo e così via. Possiamo af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fermare che il clima scolastico </w:t>
      </w:r>
      <w:r w:rsidRPr="003112D8">
        <w:rPr>
          <w:rFonts w:eastAsiaTheme="minorHAnsi" w:cs="Calibri"/>
          <w:color w:val="404040"/>
          <w:sz w:val="20"/>
          <w:szCs w:val="20"/>
        </w:rPr>
        <w:t>e la qualità della relazione che si instaura tra il docente e l’alliev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o risultano determinanti per la </w:t>
      </w:r>
      <w:r w:rsidRPr="003112D8">
        <w:rPr>
          <w:rFonts w:eastAsiaTheme="minorHAnsi" w:cs="Calibri"/>
          <w:color w:val="404040"/>
          <w:sz w:val="20"/>
          <w:szCs w:val="20"/>
        </w:rPr>
        <w:t>riuscita dei processi d’apprendimento.</w:t>
      </w: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  <w:r w:rsidRPr="003112D8">
        <w:rPr>
          <w:rFonts w:eastAsiaTheme="minorHAnsi" w:cs="Calibri"/>
          <w:color w:val="404040"/>
          <w:sz w:val="20"/>
          <w:szCs w:val="20"/>
        </w:rPr>
        <w:t>Tramite questo progetto vorremmo gettare luce e raccogliere diver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se prospettive sul rapporto tra </w:t>
      </w:r>
      <w:r w:rsidRPr="003112D8">
        <w:rPr>
          <w:rFonts w:eastAsiaTheme="minorHAnsi" w:cs="Calibri"/>
          <w:color w:val="404040"/>
          <w:sz w:val="20"/>
          <w:szCs w:val="20"/>
        </w:rPr>
        <w:t>docente e alunno, riunendo parole di insegnanti che svolgono la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 loro funzione negli ambiti più 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svariati, dalla scuola dell’infanzia al liceo, passando per la scuola serale, 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gli istituti tecnici, la scuola </w:t>
      </w:r>
      <w:r w:rsidRPr="003112D8">
        <w:rPr>
          <w:rFonts w:eastAsiaTheme="minorHAnsi" w:cs="Calibri"/>
          <w:color w:val="404040"/>
          <w:sz w:val="20"/>
          <w:szCs w:val="20"/>
        </w:rPr>
        <w:t>dentro gli ospedali pediatrici o gli istituti penitenziari.</w:t>
      </w: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  <w:r w:rsidRPr="003112D8">
        <w:rPr>
          <w:rFonts w:eastAsiaTheme="minorHAnsi" w:cs="Calibri"/>
          <w:color w:val="404040"/>
          <w:sz w:val="20"/>
          <w:szCs w:val="20"/>
        </w:rPr>
        <w:t>Cosa cerchiamo con quest’azione? Vorremmo offrire alla comuni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tà scolastica un materiale che, </w:t>
      </w:r>
      <w:r w:rsidRPr="003112D8">
        <w:rPr>
          <w:rFonts w:eastAsiaTheme="minorHAnsi" w:cs="Calibri"/>
          <w:color w:val="404040"/>
          <w:sz w:val="20"/>
          <w:szCs w:val="20"/>
        </w:rPr>
        <w:t>mettendo a confronto testimonianze su criticità e strategie educ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ative vissute in contesti molto </w:t>
      </w:r>
      <w:r w:rsidRPr="003112D8">
        <w:rPr>
          <w:rFonts w:eastAsiaTheme="minorHAnsi" w:cs="Calibri"/>
          <w:color w:val="404040"/>
          <w:sz w:val="20"/>
          <w:szCs w:val="20"/>
        </w:rPr>
        <w:t>diversi, possa offrire uno spunto di riflessione sull’atto educativo.</w:t>
      </w: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  <w:r w:rsidRPr="003112D8">
        <w:rPr>
          <w:rFonts w:eastAsiaTheme="minorHAnsi" w:cs="Calibri"/>
          <w:color w:val="404040"/>
          <w:sz w:val="20"/>
          <w:szCs w:val="20"/>
        </w:rPr>
        <w:t>Quali sono i punti di trait d’union che accomunano questi diversi scenari?</w:t>
      </w: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  <w:r w:rsidRPr="003112D8">
        <w:rPr>
          <w:rFonts w:eastAsiaTheme="minorHAnsi" w:cs="Calibri"/>
          <w:color w:val="404040"/>
          <w:sz w:val="20"/>
          <w:szCs w:val="20"/>
        </w:rPr>
        <w:t>Il materiale video che ne risulterà potrà costituire spunto di rifles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sione per incontri rivolti alla </w:t>
      </w:r>
      <w:r w:rsidRPr="003112D8">
        <w:rPr>
          <w:rFonts w:eastAsiaTheme="minorHAnsi" w:cs="Calibri"/>
          <w:color w:val="404040"/>
          <w:sz w:val="20"/>
          <w:szCs w:val="20"/>
        </w:rPr>
        <w:t>comunità scolastica (insegnanti, dirigenti, genitori, psicologi, dirigenti) e all’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interno delle scuole che </w:t>
      </w:r>
      <w:r w:rsidRPr="003112D8">
        <w:rPr>
          <w:rFonts w:eastAsiaTheme="minorHAnsi" w:cs="Calibri"/>
          <w:color w:val="404040"/>
          <w:sz w:val="20"/>
          <w:szCs w:val="20"/>
        </w:rPr>
        <w:t>ne facciano richiesta.</w:t>
      </w: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  <w:r w:rsidRPr="003112D8">
        <w:rPr>
          <w:rFonts w:eastAsiaTheme="minorHAnsi" w:cs="Calibri"/>
          <w:color w:val="404040"/>
          <w:sz w:val="20"/>
          <w:szCs w:val="20"/>
        </w:rPr>
        <w:t>Da sempre sosteniamo che la funzione della psicologia a scuola è quel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la di attivare tutte le risorse </w:t>
      </w:r>
      <w:r w:rsidRPr="003112D8">
        <w:rPr>
          <w:rFonts w:eastAsiaTheme="minorHAnsi" w:cs="Calibri"/>
          <w:color w:val="404040"/>
          <w:sz w:val="20"/>
          <w:szCs w:val="20"/>
        </w:rPr>
        <w:t>possibili per prendersi cura della relazione educativa, un incontr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o prezioso dal quale dipende il </w:t>
      </w:r>
      <w:r w:rsidRPr="003112D8">
        <w:rPr>
          <w:rFonts w:eastAsiaTheme="minorHAnsi" w:cs="Calibri"/>
          <w:color w:val="404040"/>
          <w:sz w:val="20"/>
          <w:szCs w:val="20"/>
        </w:rPr>
        <w:t>futuro della nostra società. In questo caso noi psicologi ci occupere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mo di diffondere una produzione </w:t>
      </w:r>
      <w:r w:rsidRPr="003112D8">
        <w:rPr>
          <w:rFonts w:eastAsiaTheme="minorHAnsi" w:cs="Calibri"/>
          <w:color w:val="404040"/>
          <w:sz w:val="20"/>
          <w:szCs w:val="20"/>
        </w:rPr>
        <w:t>che privilegia le voci degli insegnanti come risorsa per prevenire il di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sagio e promuovere il benessere </w:t>
      </w:r>
      <w:r w:rsidRPr="003112D8">
        <w:rPr>
          <w:rFonts w:eastAsiaTheme="minorHAnsi" w:cs="Calibri"/>
          <w:color w:val="404040"/>
          <w:sz w:val="20"/>
          <w:szCs w:val="20"/>
        </w:rPr>
        <w:t>a scuola. Questa volta, a noi la regia a loro la parola.</w:t>
      </w:r>
    </w:p>
    <w:p w:rsidR="003112D8" w:rsidRDefault="003112D8" w:rsidP="003112D8">
      <w:pPr>
        <w:autoSpaceDE w:val="0"/>
        <w:autoSpaceDN w:val="0"/>
        <w:adjustRightInd w:val="0"/>
        <w:jc w:val="both"/>
        <w:rPr>
          <w:rFonts w:ascii="Didot-Bold" w:eastAsiaTheme="minorHAnsi" w:hAnsi="Didot-Bold" w:cs="Didot-Bold"/>
          <w:b/>
          <w:bCs/>
          <w:color w:val="C10000"/>
          <w:sz w:val="20"/>
          <w:szCs w:val="20"/>
        </w:rPr>
      </w:pP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ascii="Didot-Bold" w:eastAsiaTheme="minorHAnsi" w:hAnsi="Didot-Bold" w:cs="Didot-Bold"/>
          <w:b/>
          <w:bCs/>
          <w:color w:val="C10000"/>
          <w:sz w:val="20"/>
          <w:szCs w:val="20"/>
        </w:rPr>
      </w:pPr>
      <w:r w:rsidRPr="003112D8">
        <w:rPr>
          <w:rFonts w:ascii="Didot-Bold" w:eastAsiaTheme="minorHAnsi" w:hAnsi="Didot-Bold" w:cs="Didot-Bold"/>
          <w:b/>
          <w:bCs/>
          <w:color w:val="C10000"/>
          <w:sz w:val="20"/>
          <w:szCs w:val="20"/>
        </w:rPr>
        <w:t>Obiettivi:</w:t>
      </w: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  <w:r w:rsidRPr="003112D8">
        <w:rPr>
          <w:rFonts w:ascii="ArialMT" w:eastAsiaTheme="minorHAnsi" w:hAnsi="ArialMT" w:cs="ArialMT"/>
          <w:color w:val="404040"/>
          <w:sz w:val="20"/>
          <w:szCs w:val="20"/>
        </w:rPr>
        <w:t xml:space="preserve">· </w:t>
      </w:r>
      <w:r w:rsidRPr="003112D8">
        <w:rPr>
          <w:rFonts w:eastAsiaTheme="minorHAnsi" w:cs="Calibri"/>
          <w:color w:val="404040"/>
          <w:sz w:val="20"/>
          <w:szCs w:val="20"/>
        </w:rPr>
        <w:t>Produrre e proporre un materiale video innovativo per favori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re la discussione sugli aspetti </w:t>
      </w:r>
      <w:r w:rsidRPr="003112D8">
        <w:rPr>
          <w:rFonts w:eastAsiaTheme="minorHAnsi" w:cs="Calibri"/>
          <w:color w:val="404040"/>
          <w:sz w:val="20"/>
          <w:szCs w:val="20"/>
        </w:rPr>
        <w:t>psicologici che incidono sui processi d’apprendimento.</w:t>
      </w: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  <w:r w:rsidRPr="003112D8">
        <w:rPr>
          <w:rFonts w:ascii="ArialMT" w:eastAsiaTheme="minorHAnsi" w:hAnsi="ArialMT" w:cs="ArialMT"/>
          <w:color w:val="404040"/>
          <w:sz w:val="20"/>
          <w:szCs w:val="20"/>
        </w:rPr>
        <w:t xml:space="preserve">· </w:t>
      </w:r>
      <w:r w:rsidRPr="003112D8">
        <w:rPr>
          <w:rFonts w:eastAsiaTheme="minorHAnsi" w:cs="Calibri"/>
          <w:color w:val="404040"/>
          <w:sz w:val="20"/>
          <w:szCs w:val="20"/>
        </w:rPr>
        <w:t>Promuovere la conoscenza dell’esistenza e delle attività del nostro gruppo dell’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OPT nelle </w:t>
      </w:r>
      <w:r w:rsidRPr="003112D8">
        <w:rPr>
          <w:rFonts w:eastAsiaTheme="minorHAnsi" w:cs="Calibri"/>
          <w:color w:val="404040"/>
          <w:sz w:val="20"/>
          <w:szCs w:val="20"/>
        </w:rPr>
        <w:t>comunità scolastiche dell’intera regione.</w:t>
      </w:r>
    </w:p>
    <w:p w:rsidR="00C863F2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  <w:r w:rsidRPr="003112D8">
        <w:rPr>
          <w:rFonts w:ascii="ArialMT" w:eastAsiaTheme="minorHAnsi" w:hAnsi="ArialMT" w:cs="ArialMT"/>
          <w:color w:val="404040"/>
          <w:sz w:val="20"/>
          <w:szCs w:val="20"/>
        </w:rPr>
        <w:t xml:space="preserve">· </w:t>
      </w:r>
      <w:r w:rsidRPr="003112D8">
        <w:rPr>
          <w:rFonts w:eastAsiaTheme="minorHAnsi" w:cs="Calibri"/>
          <w:color w:val="404040"/>
          <w:sz w:val="20"/>
          <w:szCs w:val="20"/>
        </w:rPr>
        <w:t>Promuovere la figura dello psicologo a scuola come risorsa fo</w:t>
      </w:r>
      <w:r w:rsidRPr="003112D8">
        <w:rPr>
          <w:rFonts w:eastAsiaTheme="minorHAnsi" w:cs="Calibri"/>
          <w:color w:val="404040"/>
          <w:sz w:val="20"/>
          <w:szCs w:val="20"/>
        </w:rPr>
        <w:t xml:space="preserve">ndamentale per contribuire alla </w:t>
      </w:r>
      <w:r w:rsidRPr="003112D8">
        <w:rPr>
          <w:rFonts w:eastAsiaTheme="minorHAnsi" w:cs="Calibri"/>
          <w:color w:val="404040"/>
          <w:sz w:val="20"/>
          <w:szCs w:val="20"/>
        </w:rPr>
        <w:t>costruzione di un clima positivo negli spazi educativi di ogni ordine e grado.</w:t>
      </w:r>
    </w:p>
    <w:p w:rsid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ascii="Didot-Bold" w:eastAsiaTheme="minorHAnsi" w:hAnsi="Didot-Bold" w:cs="Didot-Bold"/>
          <w:b/>
          <w:bCs/>
          <w:color w:val="C10000"/>
          <w:sz w:val="20"/>
          <w:szCs w:val="20"/>
        </w:rPr>
      </w:pPr>
      <w:hyperlink r:id="rId7" w:history="1">
        <w:r w:rsidRPr="003112D8">
          <w:rPr>
            <w:rStyle w:val="Collegamentoipertestuale"/>
            <w:rFonts w:ascii="Didot-Bold" w:eastAsiaTheme="minorHAnsi" w:hAnsi="Didot-Bold" w:cs="Didot-Bold"/>
            <w:b/>
            <w:bCs/>
            <w:sz w:val="20"/>
            <w:szCs w:val="20"/>
          </w:rPr>
          <w:t>LINK al TRAILER</w:t>
        </w:r>
      </w:hyperlink>
      <w:r w:rsidRPr="003112D8">
        <w:rPr>
          <w:rFonts w:ascii="Didot-Bold" w:eastAsiaTheme="minorHAnsi" w:hAnsi="Didot-Bold" w:cs="Didot-Bold"/>
          <w:b/>
          <w:bCs/>
          <w:color w:val="C10000"/>
          <w:sz w:val="20"/>
          <w:szCs w:val="20"/>
        </w:rPr>
        <w:t xml:space="preserve"> </w:t>
      </w:r>
    </w:p>
    <w:p w:rsid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</w:p>
    <w:p w:rsidR="003112D8" w:rsidRPr="003112D8" w:rsidRDefault="003112D8" w:rsidP="003112D8">
      <w:pPr>
        <w:autoSpaceDE w:val="0"/>
        <w:autoSpaceDN w:val="0"/>
        <w:adjustRightInd w:val="0"/>
        <w:jc w:val="both"/>
        <w:rPr>
          <w:rFonts w:eastAsiaTheme="minorHAnsi" w:cs="Calibri"/>
          <w:color w:val="404040"/>
          <w:sz w:val="20"/>
          <w:szCs w:val="20"/>
        </w:rPr>
      </w:pPr>
      <w:bookmarkStart w:id="0" w:name="_GoBack"/>
      <w:bookmarkEnd w:id="0"/>
    </w:p>
    <w:sectPr w:rsidR="003112D8" w:rsidRPr="003112D8" w:rsidSect="00517B03">
      <w:pgSz w:w="11906" w:h="16838"/>
      <w:pgMar w:top="1417" w:right="1134" w:bottom="1134" w:left="1134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id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3631"/>
    <w:multiLevelType w:val="hybridMultilevel"/>
    <w:tmpl w:val="7970418A"/>
    <w:lvl w:ilvl="0" w:tplc="BBC62246">
      <w:numFmt w:val="bullet"/>
      <w:lvlText w:val="·"/>
      <w:lvlJc w:val="left"/>
      <w:pPr>
        <w:ind w:left="1428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595CAC"/>
    <w:multiLevelType w:val="hybridMultilevel"/>
    <w:tmpl w:val="1A908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2AF8"/>
    <w:multiLevelType w:val="hybridMultilevel"/>
    <w:tmpl w:val="ADB6C564"/>
    <w:lvl w:ilvl="0" w:tplc="BBC62246">
      <w:numFmt w:val="bullet"/>
      <w:lvlText w:val="·"/>
      <w:lvlJc w:val="left"/>
      <w:pPr>
        <w:ind w:left="-32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" w15:restartNumberingAfterBreak="0">
    <w:nsid w:val="650661C1"/>
    <w:multiLevelType w:val="hybridMultilevel"/>
    <w:tmpl w:val="E08CFDD6"/>
    <w:lvl w:ilvl="0" w:tplc="BBC62246">
      <w:numFmt w:val="bullet"/>
      <w:lvlText w:val="·"/>
      <w:lvlJc w:val="left"/>
      <w:pPr>
        <w:ind w:left="78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2A7D14"/>
    <w:multiLevelType w:val="hybridMultilevel"/>
    <w:tmpl w:val="2DAC662C"/>
    <w:lvl w:ilvl="0" w:tplc="BBC62246">
      <w:numFmt w:val="bullet"/>
      <w:lvlText w:val="·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BC00DA"/>
    <w:multiLevelType w:val="hybridMultilevel"/>
    <w:tmpl w:val="ED962292"/>
    <w:lvl w:ilvl="0" w:tplc="BBC62246">
      <w:numFmt w:val="bullet"/>
      <w:lvlText w:val="·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037DD"/>
    <w:multiLevelType w:val="hybridMultilevel"/>
    <w:tmpl w:val="C9844AD6"/>
    <w:lvl w:ilvl="0" w:tplc="BBC62246">
      <w:numFmt w:val="bullet"/>
      <w:lvlText w:val="·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3"/>
    <w:rsid w:val="00026D62"/>
    <w:rsid w:val="00043E2C"/>
    <w:rsid w:val="00065737"/>
    <w:rsid w:val="000B4442"/>
    <w:rsid w:val="00151CEF"/>
    <w:rsid w:val="00162929"/>
    <w:rsid w:val="00176A75"/>
    <w:rsid w:val="001C4D80"/>
    <w:rsid w:val="001E4A0B"/>
    <w:rsid w:val="001E7D4B"/>
    <w:rsid w:val="001F0313"/>
    <w:rsid w:val="002522E0"/>
    <w:rsid w:val="00253E1C"/>
    <w:rsid w:val="002E5916"/>
    <w:rsid w:val="002F002B"/>
    <w:rsid w:val="003112D8"/>
    <w:rsid w:val="00314A5C"/>
    <w:rsid w:val="00326499"/>
    <w:rsid w:val="00350AE8"/>
    <w:rsid w:val="0035220E"/>
    <w:rsid w:val="00385438"/>
    <w:rsid w:val="004425FB"/>
    <w:rsid w:val="004503F9"/>
    <w:rsid w:val="004531AA"/>
    <w:rsid w:val="0049325A"/>
    <w:rsid w:val="0050069D"/>
    <w:rsid w:val="00517B03"/>
    <w:rsid w:val="00521CAA"/>
    <w:rsid w:val="005D4E55"/>
    <w:rsid w:val="005E23A8"/>
    <w:rsid w:val="00631667"/>
    <w:rsid w:val="00640AED"/>
    <w:rsid w:val="00650057"/>
    <w:rsid w:val="00691405"/>
    <w:rsid w:val="0070226E"/>
    <w:rsid w:val="00715A2A"/>
    <w:rsid w:val="0073158B"/>
    <w:rsid w:val="007564D3"/>
    <w:rsid w:val="007F1302"/>
    <w:rsid w:val="008615A9"/>
    <w:rsid w:val="008735B3"/>
    <w:rsid w:val="00892DAA"/>
    <w:rsid w:val="008F27C9"/>
    <w:rsid w:val="00900134"/>
    <w:rsid w:val="009C09EF"/>
    <w:rsid w:val="00A64DEB"/>
    <w:rsid w:val="00AC37A1"/>
    <w:rsid w:val="00B05BE2"/>
    <w:rsid w:val="00B440CC"/>
    <w:rsid w:val="00BC46EF"/>
    <w:rsid w:val="00C57433"/>
    <w:rsid w:val="00C863F2"/>
    <w:rsid w:val="00CB7853"/>
    <w:rsid w:val="00CD4F42"/>
    <w:rsid w:val="00D105DE"/>
    <w:rsid w:val="00D17D38"/>
    <w:rsid w:val="00D347B7"/>
    <w:rsid w:val="00DE0CEF"/>
    <w:rsid w:val="00E477FD"/>
    <w:rsid w:val="00EB54B7"/>
    <w:rsid w:val="00F56D1F"/>
    <w:rsid w:val="00F9264F"/>
    <w:rsid w:val="00F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E6908-F61F-4049-BB30-BC3CC1FE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B03"/>
    <w:pPr>
      <w:spacing w:after="0" w:line="240" w:lineRule="auto"/>
    </w:pPr>
    <w:rPr>
      <w:rFonts w:ascii="Calibri" w:eastAsia="Calibri" w:hAnsi="Calibri" w:cs="Times New Roman"/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B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B03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15A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23A8"/>
    <w:pPr>
      <w:spacing w:after="0" w:line="240" w:lineRule="auto"/>
    </w:pPr>
    <w:rPr>
      <w:rFonts w:cstheme="majorBidi"/>
      <w:color w:val="000000" w:themeColor="text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oIs7g4KV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F196D7F3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"Cecilia Monge" &lt;ceci.monge@gmail.com&gt;</dc:creator>
  <cp:lastModifiedBy>Valeria Delrio</cp:lastModifiedBy>
  <cp:revision>2</cp:revision>
  <cp:lastPrinted>2015-10-14T15:51:00Z</cp:lastPrinted>
  <dcterms:created xsi:type="dcterms:W3CDTF">2017-04-24T06:51:00Z</dcterms:created>
  <dcterms:modified xsi:type="dcterms:W3CDTF">2017-04-24T06:51:00Z</dcterms:modified>
</cp:coreProperties>
</file>